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B091C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Размер будущей пенсии в России рассчитывается на основе нескольких ключевых параметров, закреплённых в пенсионном законодательстве. Основные нормативные акты, регулирующие пенсионное обеспечение, — Федеральный закон от 28 декабря 2013 года №400-ФЗ «О страховых пенсиях» и другие связанные документы. </w:t>
      </w:r>
    </w:p>
    <w:p w14:paraId="44A96B3C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Основные компоненты расчёта пенсии</w:t>
      </w:r>
    </w:p>
    <w:p w14:paraId="3283C480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Страховая пенсия по старости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рассчитывается по формуле:</w:t>
      </w:r>
    </w:p>
    <w:p w14:paraId="041624F7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 = ИПК × СПК + ФВ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6094CFA0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14:paraId="47EE1A4C" w14:textId="77777777" w:rsidR="00F05395" w:rsidRPr="00F05395" w:rsidRDefault="00F05395" w:rsidP="00F0539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размер страховой пенсии;</w:t>
      </w:r>
    </w:p>
    <w:p w14:paraId="1473A20A" w14:textId="77777777" w:rsidR="00F05395" w:rsidRPr="00F05395" w:rsidRDefault="00F05395" w:rsidP="00F0539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ИПК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индивидуальный пенсионный коэффициент (сумма всех пенсионных баллов, накопленных за трудовой стаж);</w:t>
      </w:r>
    </w:p>
    <w:p w14:paraId="331C179A" w14:textId="77777777" w:rsidR="00F05395" w:rsidRPr="00F05395" w:rsidRDefault="00F05395" w:rsidP="00F0539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СПК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стоимость одного пенсионного коэффициента на дату назначения пенсии;</w:t>
      </w:r>
    </w:p>
    <w:p w14:paraId="57C22ABD" w14:textId="77777777" w:rsidR="00F05395" w:rsidRPr="00F05395" w:rsidRDefault="00F05395" w:rsidP="00F0539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ФВ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фиксированная выплата.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VTB.ru +1</w:t>
      </w:r>
    </w:p>
    <w:p w14:paraId="4EEE6C8D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Индивидуальный пенсионный коэффициент (ИПК)</w:t>
      </w:r>
    </w:p>
    <w:p w14:paraId="2BC73989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ИПК формируется из пенсионных баллов, которые начисляются за каждый год трудовой деятельности при условии уплаты страховых взносов в Социальный фонд России (СФР). Количество баллов зависит от суммы страховых взносов, уплаченных работодателем, и максимальной величины страховых взносов, установленной на федеральном уровне.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sfr.gov.ru +1</w:t>
      </w:r>
    </w:p>
    <w:p w14:paraId="14F70E38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Максимальное количество баллов за год — 10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 Для расчёта ИПК за год нужно сумму уплаченных страховых взносов разделить на нормативный размер страховых взносов, а результат умножить на 10.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sfr.gov.ru +1</w:t>
      </w:r>
    </w:p>
    <w:p w14:paraId="64E93ED4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В стаж также включаются так называемые </w:t>
      </w:r>
      <w:proofErr w:type="spellStart"/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нестраховые</w:t>
      </w:r>
      <w:proofErr w:type="spellEnd"/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периоды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, за которые тоже начисляются баллы:</w:t>
      </w:r>
    </w:p>
    <w:p w14:paraId="631C259A" w14:textId="77777777" w:rsidR="00F05395" w:rsidRPr="00F05395" w:rsidRDefault="00F05395" w:rsidP="00F0539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прохождение военной службы по призыву;</w:t>
      </w:r>
    </w:p>
    <w:p w14:paraId="49DB75F0" w14:textId="77777777" w:rsidR="00F05395" w:rsidRPr="00F05395" w:rsidRDefault="00F05395" w:rsidP="00F0539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уход за ребёнком, инвалидом I группы, ребёнком-инвалидом или престарелым (старше 80 лет);</w:t>
      </w:r>
    </w:p>
    <w:p w14:paraId="03484EBC" w14:textId="77777777" w:rsidR="00F05395" w:rsidRPr="00F05395" w:rsidRDefault="00F05395" w:rsidP="00F0539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проживание с супругом-военнослужащим в месте, где не было работы, и др..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sberbank.ru +1</w:t>
      </w:r>
    </w:p>
    <w:p w14:paraId="08012DE9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 каждый полный год такого периода начисляется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1,8 балла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14:paraId="304AEC2F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Стоимость пенсионного коэффициента (СПК)</w:t>
      </w:r>
    </w:p>
    <w:p w14:paraId="45539BCF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Стоимость одного пенсионного коэффициента устанавливает государство и ежегодно индексирует с учётом инфляции. Например, в 2025 году СПК составлял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145,69 рубля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VTB.ru +1</w:t>
      </w:r>
    </w:p>
    <w:p w14:paraId="338D2F80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Фиксированная выплата (ФВ)</w:t>
      </w:r>
    </w:p>
    <w:p w14:paraId="4A6414D2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Это базовая часть пенсии, которая не зависит от стажа и размера взносов. Её размер также ежегодно индексируется. В 2025 году фиксированная выплата составляла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8907,70 рубля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VTB.ru +1</w:t>
      </w:r>
    </w:p>
    <w:p w14:paraId="7C7F9586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Условия назначения страховой пенсии</w:t>
      </w:r>
    </w:p>
    <w:p w14:paraId="459842B2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Для получения страховой пенсии необходимо одновременное соблюдение трёх условий:</w:t>
      </w:r>
    </w:p>
    <w:p w14:paraId="7D437ACE" w14:textId="77777777" w:rsidR="00F05395" w:rsidRPr="00F05395" w:rsidRDefault="00F05395" w:rsidP="00F0539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Достижение пенсионного возраста. С 2028 года пенсионный возраст составит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65 лет для мужчин и 60 лет для женщин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 До 2028 года действует переходный период.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sberbank.ru +1</w:t>
      </w:r>
    </w:p>
    <w:p w14:paraId="20CB305E" w14:textId="77777777" w:rsidR="00F05395" w:rsidRPr="00F05395" w:rsidRDefault="00F05395" w:rsidP="00F0539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Наличие минимального страхового стажа. С 2025 года — не менее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 лет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ingobank.ru +1</w:t>
      </w:r>
    </w:p>
    <w:p w14:paraId="2E0B3F9F" w14:textId="77777777" w:rsidR="00F05395" w:rsidRPr="00F05395" w:rsidRDefault="00F05395" w:rsidP="00F0539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Накопление минимального количества пенсионных баллов. С 2025 года — не менее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 баллов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ingobank.ru +1</w:t>
      </w:r>
    </w:p>
    <w:p w14:paraId="00947674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Если эти условия не выполнены, гражданин может рассчитывать только на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социальную пенсию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, которая назначается на 5 лет позже общеустановленного пенсионного возраста.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VTB.ru +1</w:t>
      </w:r>
    </w:p>
    <w:p w14:paraId="5A9102C0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Дополнительные факторы</w:t>
      </w:r>
    </w:p>
    <w:p w14:paraId="08236BF4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На размер пенсии могут влиять:</w:t>
      </w:r>
    </w:p>
    <w:p w14:paraId="51F1134E" w14:textId="77777777" w:rsidR="00F05395" w:rsidRPr="00F05395" w:rsidRDefault="00F05395" w:rsidP="00F0539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в особых условиях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(например, в районах Крайнего Севера, сельской местности — предусмотрены надбавки).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ingobank.ru +1</w:t>
      </w:r>
    </w:p>
    <w:p w14:paraId="287E82DC" w14:textId="77777777" w:rsidR="00F05395" w:rsidRPr="00F05395" w:rsidRDefault="00F05395" w:rsidP="00F0539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Наличие иждивенцев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пенсионер получает дополнительно треть от фиксированной выплаты на каждого иждивенца. </w:t>
      </w:r>
    </w:p>
    <w:p w14:paraId="186EFE80" w14:textId="77777777" w:rsidR="00F05395" w:rsidRPr="00F05395" w:rsidRDefault="00F05395" w:rsidP="00F0539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Продолжение работы после достижения пенсионного возраста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в этом случае начисляются повышенные пенсионные коэффициенты и увеличивается фиксированная выплата. </w:t>
      </w:r>
    </w:p>
    <w:p w14:paraId="75264066" w14:textId="77777777" w:rsidR="00F05395" w:rsidRPr="00F05395" w:rsidRDefault="00F05395" w:rsidP="00F0539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Региональные доплаты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— если пенсия ниже прожиточного минимума в регионе, производится социальная доплата.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VTB.ru +1</w:t>
      </w:r>
    </w:p>
    <w:p w14:paraId="57818955" w14:textId="77777777" w:rsidR="00F05395" w:rsidRPr="00F05395" w:rsidRDefault="00F05395" w:rsidP="00F0539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0539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Как узнать свои пенсионные показатели</w:t>
      </w:r>
    </w:p>
    <w:p w14:paraId="1F7E5A85" w14:textId="77777777" w:rsidR="00F05395" w:rsidRPr="00F05395" w:rsidRDefault="00F05395" w:rsidP="00F0539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Сведения о страховом стаже, количестве пенсионных баллов и размере пенсионных накоплений можно получить через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портал «Госуслуги»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. Для этого нужно заказать выписку из индивидуального лицевого счёта в СФР. Также можно воспользоваться </w:t>
      </w:r>
      <w:r w:rsidRPr="00F053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пенсионным калькулятором</w:t>
      </w:r>
      <w:r w:rsidRPr="00F05395">
        <w:rPr>
          <w:rFonts w:ascii="Arial" w:eastAsia="Times New Roman" w:hAnsi="Arial" w:cs="Arial"/>
          <w:sz w:val="24"/>
          <w:szCs w:val="24"/>
          <w:lang w:eastAsia="ru-RU"/>
        </w:rPr>
        <w:t> на сайте СФР для моделирования будущей пенсии. </w:t>
      </w:r>
      <w:r w:rsidRPr="00F05395">
        <w:rPr>
          <w:rFonts w:ascii="Arial" w:eastAsia="Times New Roman" w:hAnsi="Arial" w:cs="Arial"/>
          <w:sz w:val="18"/>
          <w:szCs w:val="18"/>
          <w:lang w:eastAsia="ru-RU"/>
        </w:rPr>
        <w:t>gazprombank.ru +1</w:t>
      </w:r>
    </w:p>
    <w:p w14:paraId="4D637596" w14:textId="77777777" w:rsidR="00F05395" w:rsidRPr="00F05395" w:rsidRDefault="00F05395" w:rsidP="00F05395">
      <w:pPr>
        <w:spacing w:after="10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05395">
        <w:rPr>
          <w:rFonts w:ascii="Arial" w:eastAsia="Times New Roman" w:hAnsi="Arial" w:cs="Arial"/>
          <w:sz w:val="24"/>
          <w:szCs w:val="24"/>
          <w:lang w:eastAsia="ru-RU"/>
        </w:rPr>
        <w:t>Если есть сомнения в правильности расчётов или нужны уточнения по особым случаям (например, при работе в вредных условиях), рекомендуется обратиться в отделение СФР или к юристу, специализирующемуся на пенсионном праве.</w:t>
      </w:r>
    </w:p>
    <w:p w14:paraId="38B62657" w14:textId="33714BB7" w:rsidR="0080245F" w:rsidRDefault="00F05395" w:rsidP="00F05395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6EBE"/>
    <w:multiLevelType w:val="multilevel"/>
    <w:tmpl w:val="6754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720FD"/>
    <w:multiLevelType w:val="multilevel"/>
    <w:tmpl w:val="6F2A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919BC"/>
    <w:multiLevelType w:val="multilevel"/>
    <w:tmpl w:val="E48E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C117A"/>
    <w:multiLevelType w:val="multilevel"/>
    <w:tmpl w:val="409A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F"/>
    <w:rsid w:val="0020478C"/>
    <w:rsid w:val="00E131E3"/>
    <w:rsid w:val="00E9242F"/>
    <w:rsid w:val="00F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2210"/>
  <w15:chartTrackingRefBased/>
  <w15:docId w15:val="{1E703246-1518-4FAA-92AA-CD3D9458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5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3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05395"/>
    <w:rPr>
      <w:b/>
      <w:bCs/>
    </w:rPr>
  </w:style>
  <w:style w:type="character" w:customStyle="1" w:styleId="futurisfootnotegroup">
    <w:name w:val="futurisfootnotegroup"/>
    <w:basedOn w:val="a0"/>
    <w:rsid w:val="00F0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19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3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8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2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3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2026-01-02T10:17:00Z</dcterms:created>
  <dcterms:modified xsi:type="dcterms:W3CDTF">2026-01-02T10:18:00Z</dcterms:modified>
</cp:coreProperties>
</file>