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72FC9" w14:textId="77777777" w:rsidR="004060E8" w:rsidRPr="004060E8" w:rsidRDefault="004060E8" w:rsidP="004060E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Банковские карты: виды и особенности</w:t>
      </w:r>
    </w:p>
    <w:p w14:paraId="4560FC33" w14:textId="77777777" w:rsidR="004060E8" w:rsidRPr="004060E8" w:rsidRDefault="004060E8" w:rsidP="004060E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Банковская карта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платёжный инструмент, позволяющий:</w:t>
      </w:r>
    </w:p>
    <w:p w14:paraId="34B803A0" w14:textId="77777777" w:rsidR="004060E8" w:rsidRPr="004060E8" w:rsidRDefault="004060E8" w:rsidP="004060E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оплачивать покупки онлайн и офлайн;</w:t>
      </w:r>
    </w:p>
    <w:p w14:paraId="126FD576" w14:textId="77777777" w:rsidR="004060E8" w:rsidRPr="004060E8" w:rsidRDefault="004060E8" w:rsidP="004060E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снимать наличные;</w:t>
      </w:r>
    </w:p>
    <w:p w14:paraId="675CDC84" w14:textId="77777777" w:rsidR="004060E8" w:rsidRPr="004060E8" w:rsidRDefault="004060E8" w:rsidP="004060E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пополнять счёт;</w:t>
      </w:r>
    </w:p>
    <w:p w14:paraId="7084AD2F" w14:textId="77777777" w:rsidR="004060E8" w:rsidRPr="004060E8" w:rsidRDefault="004060E8" w:rsidP="004060E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переводить деньги;</w:t>
      </w:r>
    </w:p>
    <w:p w14:paraId="2CF4E03B" w14:textId="77777777" w:rsidR="004060E8" w:rsidRPr="004060E8" w:rsidRDefault="004060E8" w:rsidP="004060E8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пользоваться другими финансовыми операциями.</w:t>
      </w:r>
    </w:p>
    <w:p w14:paraId="494B1086" w14:textId="77777777" w:rsidR="004060E8" w:rsidRPr="004060E8" w:rsidRDefault="004060E8" w:rsidP="004060E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Классификация банковских карт</w:t>
      </w:r>
    </w:p>
    <w:p w14:paraId="5FC5BD65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По типу средств на счёте</w:t>
      </w:r>
    </w:p>
    <w:p w14:paraId="3FFFA7EE" w14:textId="77777777" w:rsidR="004060E8" w:rsidRPr="004060E8" w:rsidRDefault="004060E8" w:rsidP="004060E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Дебетовые карты.</w:t>
      </w:r>
    </w:p>
    <w:p w14:paraId="4DDA1FF0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Доступ только к собственным деньгам на счёте.</w:t>
      </w:r>
    </w:p>
    <w:p w14:paraId="44082928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Можно оплачивать покупки и проводить операции в пределах остатка.</w:t>
      </w:r>
    </w:p>
    <w:p w14:paraId="081FBDC0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Для оформления обычно нужен только паспорт.</w:t>
      </w:r>
    </w:p>
    <w:p w14:paraId="44BF1689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Некоторые банки начисляют проценты на остаток.</w:t>
      </w:r>
    </w:p>
    <w:p w14:paraId="71D070EA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Примеры: зарплатные, пенсионные карты.</w:t>
      </w:r>
    </w:p>
    <w:p w14:paraId="6488B778" w14:textId="77777777" w:rsidR="004060E8" w:rsidRPr="004060E8" w:rsidRDefault="004060E8" w:rsidP="004060E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Кредитные карты.</w:t>
      </w:r>
    </w:p>
    <w:p w14:paraId="6BF3572D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Деньги принадлежат банку — это заёмные средства.</w:t>
      </w:r>
    </w:p>
    <w:p w14:paraId="7164385B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Есть кредитный лимит (определяется индивидуально).</w:t>
      </w:r>
    </w:p>
    <w:p w14:paraId="2CD2E130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Часто предусмотрен льготный беспроцентный период (1–3 месяца).</w:t>
      </w:r>
    </w:p>
    <w:p w14:paraId="3115B818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За снятие наличных может взиматься комиссия.</w:t>
      </w:r>
    </w:p>
    <w:p w14:paraId="29443967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Для оформления нужны паспорт, анкета и документы о доходах.</w:t>
      </w:r>
    </w:p>
    <w:p w14:paraId="395ADF3D" w14:textId="77777777" w:rsidR="004060E8" w:rsidRPr="004060E8" w:rsidRDefault="004060E8" w:rsidP="004060E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Овердрафтные</w:t>
      </w:r>
      <w:proofErr w:type="spellEnd"/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карты.</w:t>
      </w:r>
    </w:p>
    <w:p w14:paraId="6E32F130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Гибрид дебетовой и кредитной карты: сначала используются собственные средства, затем — заёмные (в рамках оговорённого лимита овердрафта).</w:t>
      </w:r>
    </w:p>
    <w:p w14:paraId="335BA9F6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Лимит зависит от объёма поступлений на счёт.</w:t>
      </w:r>
    </w:p>
    <w:p w14:paraId="5E940F04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Проценты за овердрафт обычно выше, чем по кредитным картам.</w:t>
      </w:r>
    </w:p>
    <w:p w14:paraId="711105AF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Погашение происходит автоматически при поступлении денег.</w:t>
      </w:r>
    </w:p>
    <w:p w14:paraId="351406BB" w14:textId="77777777" w:rsidR="004060E8" w:rsidRPr="004060E8" w:rsidRDefault="004060E8" w:rsidP="004060E8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Предоплаченные карты.</w:t>
      </w:r>
    </w:p>
    <w:p w14:paraId="5C530D06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Не привязаны к банковскому счёту.</w:t>
      </w:r>
    </w:p>
    <w:p w14:paraId="792777E4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На карте заранее размещена определённая сумма (лимиты зависят от типа карты).</w:t>
      </w:r>
    </w:p>
    <w:p w14:paraId="7A2F686D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Могут иметь ограничения на пополнение и объём покупок.</w:t>
      </w:r>
    </w:p>
    <w:p w14:paraId="07C60E85" w14:textId="77777777" w:rsidR="004060E8" w:rsidRPr="004060E8" w:rsidRDefault="004060E8" w:rsidP="004060E8">
      <w:pPr>
        <w:numPr>
          <w:ilvl w:val="1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Пример: подарочные карты.</w:t>
      </w:r>
    </w:p>
    <w:p w14:paraId="5427AD9A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 По платёжной системе</w:t>
      </w:r>
    </w:p>
    <w:p w14:paraId="113BCA02" w14:textId="77777777" w:rsidR="004060E8" w:rsidRPr="004060E8" w:rsidRDefault="004060E8" w:rsidP="004060E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Международные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4060E8">
        <w:rPr>
          <w:rFonts w:ascii="Arial" w:eastAsia="Times New Roman" w:hAnsi="Arial" w:cs="Arial"/>
          <w:sz w:val="24"/>
          <w:szCs w:val="24"/>
          <w:lang w:eastAsia="ru-RU"/>
        </w:rPr>
        <w:t>Visa</w:t>
      </w:r>
      <w:proofErr w:type="spellEnd"/>
      <w:r w:rsidRPr="004060E8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4060E8">
        <w:rPr>
          <w:rFonts w:ascii="Arial" w:eastAsia="Times New Roman" w:hAnsi="Arial" w:cs="Arial"/>
          <w:sz w:val="24"/>
          <w:szCs w:val="24"/>
          <w:lang w:eastAsia="ru-RU"/>
        </w:rPr>
        <w:t>Mastercard</w:t>
      </w:r>
      <w:proofErr w:type="spellEnd"/>
      <w:r w:rsidRPr="004060E8">
        <w:rPr>
          <w:rFonts w:ascii="Arial" w:eastAsia="Times New Roman" w:hAnsi="Arial" w:cs="Arial"/>
          <w:sz w:val="24"/>
          <w:szCs w:val="24"/>
          <w:lang w:eastAsia="ru-RU"/>
        </w:rPr>
        <w:t>) — работают по всему миру.</w:t>
      </w:r>
    </w:p>
    <w:p w14:paraId="3DC17921" w14:textId="77777777" w:rsidR="004060E8" w:rsidRPr="004060E8" w:rsidRDefault="004060E8" w:rsidP="004060E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Локальные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(например, «МИР» в России) — действуют в пределах одной страны или платёжной системы.</w:t>
      </w:r>
    </w:p>
    <w:p w14:paraId="4250CEFD" w14:textId="77777777" w:rsidR="004060E8" w:rsidRPr="004060E8" w:rsidRDefault="004060E8" w:rsidP="004060E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Виртуальные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существуют только в электронном виде, предназначены для онлайн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операций.</w:t>
      </w:r>
    </w:p>
    <w:p w14:paraId="31219E3F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По назначению</w:t>
      </w:r>
    </w:p>
    <w:p w14:paraId="71C0A4A9" w14:textId="77777777" w:rsidR="004060E8" w:rsidRPr="004060E8" w:rsidRDefault="004060E8" w:rsidP="004060E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Личные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оформляются самостоятельно, выбор параметров зависит от клиента.</w:t>
      </w:r>
    </w:p>
    <w:p w14:paraId="0679D611" w14:textId="77777777" w:rsidR="004060E8" w:rsidRPr="004060E8" w:rsidRDefault="004060E8" w:rsidP="004060E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Зарплатные (социальные, пенсионные и др.)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выдаются в рамках зарплатных проектов организаций.</w:t>
      </w:r>
    </w:p>
    <w:p w14:paraId="0B160898" w14:textId="77777777" w:rsidR="004060E8" w:rsidRPr="004060E8" w:rsidRDefault="004060E8" w:rsidP="004060E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Корпоративные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принадлежат организациям, выдаются сотрудникам для служебных расходов.</w:t>
      </w:r>
    </w:p>
    <w:p w14:paraId="67546E75" w14:textId="77777777" w:rsidR="004060E8" w:rsidRPr="004060E8" w:rsidRDefault="004060E8" w:rsidP="004060E8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Предвыпущенные (обезличенные)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не содержат данных владельца, оформляются быстро (за несколько минут).</w:t>
      </w:r>
    </w:p>
    <w:p w14:paraId="2D1E6409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По уровню карты (для международных систем)</w:t>
      </w:r>
    </w:p>
    <w:p w14:paraId="01F06578" w14:textId="77777777" w:rsidR="004060E8" w:rsidRPr="004060E8" w:rsidRDefault="004060E8" w:rsidP="004060E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Начальный уровень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дешёвые в выпуске и обслуживании, могут ограничивать онлайн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платежи.</w:t>
      </w:r>
    </w:p>
    <w:p w14:paraId="7E7168E8" w14:textId="77777777" w:rsidR="004060E8" w:rsidRPr="004060E8" w:rsidRDefault="004060E8" w:rsidP="004060E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Стандартный уровень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широкие возможности для операций (оплата, снятие наличных, бронирование).</w:t>
      </w:r>
    </w:p>
    <w:p w14:paraId="5FD294F4" w14:textId="77777777" w:rsidR="004060E8" w:rsidRPr="004060E8" w:rsidRDefault="004060E8" w:rsidP="004060E8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Премиальный уровень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4060E8">
        <w:rPr>
          <w:rFonts w:ascii="Arial" w:eastAsia="Times New Roman" w:hAnsi="Arial" w:cs="Arial"/>
          <w:sz w:val="24"/>
          <w:szCs w:val="24"/>
          <w:lang w:eastAsia="ru-RU"/>
        </w:rPr>
        <w:t>Gold</w:t>
      </w:r>
      <w:proofErr w:type="spellEnd"/>
      <w:r w:rsidRPr="004060E8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4060E8">
        <w:rPr>
          <w:rFonts w:ascii="Arial" w:eastAsia="Times New Roman" w:hAnsi="Arial" w:cs="Arial"/>
          <w:sz w:val="24"/>
          <w:szCs w:val="24"/>
          <w:lang w:eastAsia="ru-RU"/>
        </w:rPr>
        <w:t>Platinum</w:t>
      </w:r>
      <w:proofErr w:type="spellEnd"/>
      <w:r w:rsidRPr="004060E8">
        <w:rPr>
          <w:rFonts w:ascii="Arial" w:eastAsia="Times New Roman" w:hAnsi="Arial" w:cs="Arial"/>
          <w:sz w:val="24"/>
          <w:szCs w:val="24"/>
          <w:lang w:eastAsia="ru-RU"/>
        </w:rPr>
        <w:t>, </w:t>
      </w:r>
      <w:proofErr w:type="spellStart"/>
      <w:r w:rsidRPr="004060E8">
        <w:rPr>
          <w:rFonts w:ascii="Arial" w:eastAsia="Times New Roman" w:hAnsi="Arial" w:cs="Arial"/>
          <w:sz w:val="24"/>
          <w:szCs w:val="24"/>
          <w:lang w:eastAsia="ru-RU"/>
        </w:rPr>
        <w:t>Titanium</w:t>
      </w:r>
      <w:proofErr w:type="spellEnd"/>
      <w:r w:rsidRPr="004060E8">
        <w:rPr>
          <w:rFonts w:ascii="Arial" w:eastAsia="Times New Roman" w:hAnsi="Arial" w:cs="Arial"/>
          <w:sz w:val="24"/>
          <w:szCs w:val="24"/>
          <w:lang w:eastAsia="ru-RU"/>
        </w:rPr>
        <w:t> и др.):</w:t>
      </w:r>
    </w:p>
    <w:p w14:paraId="2CA92B2F" w14:textId="77777777" w:rsidR="004060E8" w:rsidRPr="004060E8" w:rsidRDefault="004060E8" w:rsidP="004060E8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высокая стоимость обслуживания;</w:t>
      </w:r>
    </w:p>
    <w:p w14:paraId="70EA7C0B" w14:textId="77777777" w:rsidR="004060E8" w:rsidRPr="004060E8" w:rsidRDefault="004060E8" w:rsidP="004060E8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эксклюзивный дизайн;</w:t>
      </w:r>
    </w:p>
    <w:p w14:paraId="6EA5A742" w14:textId="77777777" w:rsidR="004060E8" w:rsidRPr="004060E8" w:rsidRDefault="004060E8" w:rsidP="004060E8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отсутствие ограничений по операциям;</w:t>
      </w:r>
    </w:p>
    <w:p w14:paraId="640E7327" w14:textId="77777777" w:rsidR="004060E8" w:rsidRPr="004060E8" w:rsidRDefault="004060E8" w:rsidP="004060E8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дополнительные привилегии (консьерж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сервис, доступ в VIP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зоны и др.).</w:t>
      </w:r>
    </w:p>
    <w:p w14:paraId="196499D4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 По способу использования</w:t>
      </w:r>
    </w:p>
    <w:p w14:paraId="436E1AC1" w14:textId="77777777" w:rsidR="004060E8" w:rsidRPr="004060E8" w:rsidRDefault="004060E8" w:rsidP="004060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Пластиковые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физический носитель для оплаты и снятия наличных.</w:t>
      </w:r>
    </w:p>
    <w:p w14:paraId="7205358D" w14:textId="77777777" w:rsidR="004060E8" w:rsidRPr="004060E8" w:rsidRDefault="004060E8" w:rsidP="004060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Цифровые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существуют только в мобильном приложении, используются для онлайн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платежей и бесконтактной оплаты.</w:t>
      </w:r>
    </w:p>
    <w:p w14:paraId="4CE46173" w14:textId="77777777" w:rsidR="004060E8" w:rsidRPr="004060E8" w:rsidRDefault="004060E8" w:rsidP="004060E8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Платёжные стикеры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миниатюрная версия карты, крепится к телефону или брелоку, работает как бесконтактная карта.</w:t>
      </w:r>
    </w:p>
    <w:p w14:paraId="707B6319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 По скорости выпуска</w:t>
      </w:r>
    </w:p>
    <w:p w14:paraId="4895AC9E" w14:textId="77777777" w:rsidR="004060E8" w:rsidRPr="004060E8" w:rsidRDefault="004060E8" w:rsidP="004060E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Моментальные (неименные)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выдаются за несколько минут, без имени на пластике.</w:t>
      </w:r>
    </w:p>
    <w:p w14:paraId="310C1107" w14:textId="77777777" w:rsidR="004060E8" w:rsidRPr="004060E8" w:rsidRDefault="004060E8" w:rsidP="004060E8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Именные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изготавливаются 2–14 дней, содержат ФИО держателя.</w:t>
      </w:r>
    </w:p>
    <w:p w14:paraId="36F5F509" w14:textId="77777777" w:rsidR="004060E8" w:rsidRPr="004060E8" w:rsidRDefault="004060E8" w:rsidP="004060E8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 По дополнительным параметрам</w:t>
      </w:r>
    </w:p>
    <w:p w14:paraId="14C63CA7" w14:textId="77777777" w:rsidR="004060E8" w:rsidRPr="004060E8" w:rsidRDefault="004060E8" w:rsidP="004060E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 </w:t>
      </w:r>
      <w:proofErr w:type="spellStart"/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кэшбэком</w:t>
      </w:r>
      <w:proofErr w:type="spellEnd"/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возвращают часть потраченных средств.</w:t>
      </w:r>
    </w:p>
    <w:p w14:paraId="1411991B" w14:textId="77777777" w:rsidR="004060E8" w:rsidRPr="004060E8" w:rsidRDefault="004060E8" w:rsidP="004060E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 программами лояльности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начисление бонусов, миль и др.</w:t>
      </w:r>
    </w:p>
    <w:p w14:paraId="022B4A66" w14:textId="77777777" w:rsidR="004060E8" w:rsidRPr="004060E8" w:rsidRDefault="004060E8" w:rsidP="004060E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 страхованием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дополнительная защита (например, при путешествиях).</w:t>
      </w:r>
    </w:p>
    <w:p w14:paraId="51D1D743" w14:textId="77777777" w:rsidR="004060E8" w:rsidRPr="004060E8" w:rsidRDefault="004060E8" w:rsidP="004060E8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 лимитами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— ограничения на снятие наличных или покупки.</w:t>
      </w:r>
    </w:p>
    <w:p w14:paraId="7A3C059F" w14:textId="77777777" w:rsidR="004060E8" w:rsidRPr="004060E8" w:rsidRDefault="004060E8" w:rsidP="004060E8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Ключевые особенности выбора</w:t>
      </w:r>
    </w:p>
    <w:p w14:paraId="6BB0A543" w14:textId="77777777" w:rsidR="004060E8" w:rsidRPr="004060E8" w:rsidRDefault="004060E8" w:rsidP="004060E8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t>При выборе карты учитывайте:</w:t>
      </w:r>
    </w:p>
    <w:p w14:paraId="72C0E8F5" w14:textId="77777777" w:rsidR="004060E8" w:rsidRPr="004060E8" w:rsidRDefault="004060E8" w:rsidP="004060E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 использования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(покупка, переводы, путешествия);</w:t>
      </w:r>
    </w:p>
    <w:p w14:paraId="6DB5F550" w14:textId="77777777" w:rsidR="004060E8" w:rsidRPr="004060E8" w:rsidRDefault="004060E8" w:rsidP="004060E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стоимость обслуживания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(годовое, ежемесячное);</w:t>
      </w:r>
    </w:p>
    <w:p w14:paraId="7890F712" w14:textId="77777777" w:rsidR="004060E8" w:rsidRPr="004060E8" w:rsidRDefault="004060E8" w:rsidP="004060E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наличие бонусов и привилегий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C6354DD" w14:textId="77777777" w:rsidR="004060E8" w:rsidRPr="004060E8" w:rsidRDefault="004060E8" w:rsidP="004060E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ограничения по операциям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9BB8EB5" w14:textId="77777777" w:rsidR="004060E8" w:rsidRPr="004060E8" w:rsidRDefault="004060E8" w:rsidP="004060E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 действия карты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B5E894C" w14:textId="77777777" w:rsidR="004060E8" w:rsidRPr="004060E8" w:rsidRDefault="004060E8" w:rsidP="004060E8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способы защиты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t> (ПИН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код, биометрия, SMS</w:t>
      </w:r>
      <w:r w:rsidRPr="004060E8">
        <w:rPr>
          <w:rFonts w:ascii="Arial" w:eastAsia="Times New Roman" w:hAnsi="Arial" w:cs="Arial"/>
          <w:sz w:val="24"/>
          <w:szCs w:val="24"/>
          <w:lang w:eastAsia="ru-RU"/>
        </w:rPr>
        <w:noBreakHyphen/>
        <w:t>подтверждение).</w:t>
      </w:r>
    </w:p>
    <w:p w14:paraId="24C616C2" w14:textId="77777777" w:rsidR="004060E8" w:rsidRPr="004060E8" w:rsidRDefault="004060E8" w:rsidP="004060E8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60E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Перед оформлением изучите условия договора, тарифы и отзывы о банке.</w:t>
      </w:r>
    </w:p>
    <w:p w14:paraId="2364C45F" w14:textId="34783847" w:rsidR="0080245F" w:rsidRDefault="004060E8"/>
    <w:p w14:paraId="0313DA95" w14:textId="2BB530FD" w:rsidR="004060E8" w:rsidRDefault="004060E8"/>
    <w:p w14:paraId="1AFD0D00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</w:rPr>
      </w:pPr>
      <w:r>
        <w:rPr>
          <w:rFonts w:ascii="Arial" w:hAnsi="Arial" w:cs="Arial"/>
        </w:rPr>
        <w:t>Налоги — это обязательные платежи в бюджет, которые уплачивают физические лица, самозанятые, ИП и организации. Они нужны для финансирования государственных нужд: инфраструктуры, образования, медицины, безопасности и др.. </w:t>
      </w:r>
      <w:r>
        <w:rPr>
          <w:rStyle w:val="futurisfootnotegroup"/>
          <w:rFonts w:ascii="Arial" w:hAnsi="Arial" w:cs="Arial"/>
          <w:sz w:val="18"/>
          <w:szCs w:val="18"/>
        </w:rPr>
        <w:t>allo.tochka.com +1</w:t>
      </w:r>
    </w:p>
    <w:p w14:paraId="78E8686D" w14:textId="77777777" w:rsidR="004060E8" w:rsidRPr="004060E8" w:rsidRDefault="004060E8" w:rsidP="004060E8">
      <w:pPr>
        <w:pStyle w:val="2"/>
        <w:shd w:val="clear" w:color="auto" w:fill="FFFFFF"/>
        <w:spacing w:before="360" w:after="180" w:line="420" w:lineRule="atLeast"/>
        <w:rPr>
          <w:rFonts w:ascii="Arial" w:hAnsi="Arial" w:cs="Arial"/>
          <w:b/>
          <w:bCs/>
          <w:sz w:val="32"/>
          <w:szCs w:val="32"/>
        </w:rPr>
      </w:pPr>
      <w:r w:rsidRPr="004060E8">
        <w:rPr>
          <w:rFonts w:ascii="Arial" w:hAnsi="Arial" w:cs="Arial"/>
          <w:b/>
          <w:bCs/>
          <w:sz w:val="32"/>
          <w:szCs w:val="32"/>
        </w:rPr>
        <w:t>Основные виды налогов для физических лиц</w:t>
      </w:r>
    </w:p>
    <w:p w14:paraId="06FB1CFB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  <w:sz w:val="24"/>
          <w:szCs w:val="24"/>
        </w:rPr>
      </w:pPr>
      <w:r>
        <w:rPr>
          <w:rStyle w:val="a4"/>
          <w:rFonts w:ascii="Arial" w:hAnsi="Arial" w:cs="Arial"/>
        </w:rPr>
        <w:t>1. Налог на доходы физических лиц (НДФЛ).</w:t>
      </w:r>
      <w:r>
        <w:rPr>
          <w:rFonts w:ascii="Arial" w:hAnsi="Arial" w:cs="Arial"/>
        </w:rPr>
        <w:t> Основной налог, который платят граждане с заработной платы, прибыли от продажи или сдачи недвижимости в аренду, реализации ценных бумаг, выигрышей в лотереях, доходов по вкладам и </w:t>
      </w:r>
      <w:proofErr w:type="gramStart"/>
      <w:r>
        <w:rPr>
          <w:rFonts w:ascii="Arial" w:hAnsi="Arial" w:cs="Arial"/>
        </w:rPr>
        <w:t>др..</w:t>
      </w:r>
      <w:proofErr w:type="gramEnd"/>
      <w:r>
        <w:rPr>
          <w:rFonts w:ascii="Arial" w:hAnsi="Arial" w:cs="Arial"/>
        </w:rPr>
        <w:t xml:space="preserve"> С 2025 года действует прогрессивная шкала НДФЛ:</w:t>
      </w:r>
    </w:p>
    <w:p w14:paraId="6A937491" w14:textId="77777777" w:rsidR="004060E8" w:rsidRDefault="004060E8" w:rsidP="004060E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13% — при годовом доходе до 2,4 млн рублей;</w:t>
      </w:r>
    </w:p>
    <w:p w14:paraId="35EBBF09" w14:textId="77777777" w:rsidR="004060E8" w:rsidRDefault="004060E8" w:rsidP="004060E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15% — до 5 млн рублей;</w:t>
      </w:r>
    </w:p>
    <w:p w14:paraId="300C8660" w14:textId="77777777" w:rsidR="004060E8" w:rsidRDefault="004060E8" w:rsidP="004060E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18% — до 20 млн рублей;</w:t>
      </w:r>
    </w:p>
    <w:p w14:paraId="6B8BDD00" w14:textId="77777777" w:rsidR="004060E8" w:rsidRDefault="004060E8" w:rsidP="004060E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20% — до 50 млн рублей;</w:t>
      </w:r>
    </w:p>
    <w:p w14:paraId="6FAA37D1" w14:textId="77777777" w:rsidR="004060E8" w:rsidRDefault="004060E8" w:rsidP="004060E8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22% — если больше. </w:t>
      </w:r>
    </w:p>
    <w:p w14:paraId="702C3FA3" w14:textId="77777777" w:rsidR="004060E8" w:rsidRDefault="004060E8" w:rsidP="004060E8">
      <w:pPr>
        <w:shd w:val="clear" w:color="auto" w:fill="FFFFFF"/>
        <w:spacing w:after="0"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2. Налог на имущество физических лиц.</w:t>
      </w:r>
      <w:r>
        <w:rPr>
          <w:rFonts w:ascii="Arial" w:hAnsi="Arial" w:cs="Arial"/>
        </w:rPr>
        <w:t> Уплачивается владельцами недвижимости (квартиры, дома, гаража и др.). Рассчитывается исходя из кадастровой стоимости объекта с учётом налоговых вычетов и ставки налога. Например, для квартиры налоговый вычет составляет 20 м², то есть налог исчисляется от кадастровой стоимости оставшейся площади. Некоторые категории граждан (пенсионеры, инвалиды I и II групп, герои СССР и РФ, участники ВОВ и др.) освобождены от уплаты этого налога по одному объекту каждого вида. </w:t>
      </w:r>
      <w:r>
        <w:rPr>
          <w:rStyle w:val="futurisfootnotegroup"/>
          <w:rFonts w:ascii="Arial" w:hAnsi="Arial" w:cs="Arial"/>
          <w:sz w:val="18"/>
          <w:szCs w:val="18"/>
        </w:rPr>
        <w:t>Companies.RBC.ru +2</w:t>
      </w:r>
    </w:p>
    <w:p w14:paraId="6C925403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3. Транспортный налог.</w:t>
      </w:r>
      <w:r>
        <w:rPr>
          <w:rFonts w:ascii="Arial" w:hAnsi="Arial" w:cs="Arial"/>
        </w:rPr>
        <w:t> Взимается с владельцев автомобилей и других транспортных средств. Размер налога зависит от мощности двигателя. </w:t>
      </w:r>
    </w:p>
    <w:p w14:paraId="44ADE469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4. Земельный налог.</w:t>
      </w:r>
      <w:r>
        <w:rPr>
          <w:rFonts w:ascii="Arial" w:hAnsi="Arial" w:cs="Arial"/>
        </w:rPr>
        <w:t> Платят собственники земельных участков. Ставка рассчитывается на основе кадастровой стоимости земли. </w:t>
      </w:r>
    </w:p>
    <w:p w14:paraId="5E206A95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</w:rPr>
      </w:pPr>
      <w:r>
        <w:rPr>
          <w:rStyle w:val="a4"/>
          <w:rFonts w:ascii="Arial" w:hAnsi="Arial" w:cs="Arial"/>
        </w:rPr>
        <w:t>5. Налог на процентные доходы по вкладам.</w:t>
      </w:r>
      <w:r>
        <w:rPr>
          <w:rFonts w:ascii="Arial" w:hAnsi="Arial" w:cs="Arial"/>
        </w:rPr>
        <w:t xml:space="preserve"> Облагается не сам вклад, а процентный доход по нему, если ставка по вкладу превышала 1% годовых. Необлагаемый уровень дохода рассчитывается как 1 млн рублей, умноженный на максимальный размер </w:t>
      </w:r>
      <w:r>
        <w:rPr>
          <w:rFonts w:ascii="Arial" w:hAnsi="Arial" w:cs="Arial"/>
        </w:rPr>
        <w:lastRenderedPageBreak/>
        <w:t>ключевой ставки ЦБ за год, в котором получен доход. С суммы превышения уплачивается НДФЛ по ставке 13% или 15% в зависимости от общего годового дохода. </w:t>
      </w:r>
      <w:r>
        <w:rPr>
          <w:rStyle w:val="futurisfootnotegroup"/>
          <w:rFonts w:ascii="Arial" w:hAnsi="Arial" w:cs="Arial"/>
          <w:sz w:val="18"/>
          <w:szCs w:val="18"/>
        </w:rPr>
        <w:t>sberbank.ru +1</w:t>
      </w:r>
    </w:p>
    <w:p w14:paraId="1CA5B930" w14:textId="77777777" w:rsidR="004060E8" w:rsidRDefault="004060E8" w:rsidP="004060E8">
      <w:pPr>
        <w:pStyle w:val="2"/>
        <w:shd w:val="clear" w:color="auto" w:fill="FFFFFF"/>
        <w:spacing w:before="360" w:after="180" w:line="42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Другие возможные налоги</w:t>
      </w:r>
    </w:p>
    <w:p w14:paraId="1CBE1EDC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В зависимости от ситуации могут возникать и другие обязательства, например:</w:t>
      </w:r>
    </w:p>
    <w:p w14:paraId="44B2AF25" w14:textId="77777777" w:rsidR="004060E8" w:rsidRDefault="004060E8" w:rsidP="004060E8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Налог при продаже имущества.</w:t>
      </w:r>
      <w:r>
        <w:rPr>
          <w:rFonts w:ascii="Arial" w:hAnsi="Arial" w:cs="Arial"/>
        </w:rPr>
        <w:t> Если недвижимость находилась в собственности менее 5 лет (для унаследованной — менее 3 лет), с дохода от её продажи нужно уплатить НДФЛ.</w:t>
      </w:r>
    </w:p>
    <w:p w14:paraId="15F5F463" w14:textId="77777777" w:rsidR="004060E8" w:rsidRDefault="004060E8" w:rsidP="004060E8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Style w:val="a4"/>
          <w:rFonts w:ascii="Arial" w:hAnsi="Arial" w:cs="Arial"/>
        </w:rPr>
        <w:t>Налог на доходы от предпринимательской деятельности.</w:t>
      </w:r>
      <w:r>
        <w:rPr>
          <w:rFonts w:ascii="Arial" w:hAnsi="Arial" w:cs="Arial"/>
        </w:rPr>
        <w:t> Если человек ведёт бизнес без регистрации ИП или самозанятости, он обязан уплачивать НДФЛ с полученного дохода.</w:t>
      </w:r>
    </w:p>
    <w:p w14:paraId="17AD3A8E" w14:textId="77777777" w:rsidR="004060E8" w:rsidRDefault="004060E8" w:rsidP="004060E8">
      <w:pPr>
        <w:pStyle w:val="2"/>
        <w:shd w:val="clear" w:color="auto" w:fill="FFFFFF"/>
        <w:spacing w:before="360" w:after="180" w:line="42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Как узнать о налогах</w:t>
      </w:r>
    </w:p>
    <w:p w14:paraId="6BAC2317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Информация о налогах обычно поступает в виде уведомлений от ФНС. Их можно получить:</w:t>
      </w:r>
    </w:p>
    <w:p w14:paraId="45CB0A76" w14:textId="77777777" w:rsidR="004060E8" w:rsidRDefault="004060E8" w:rsidP="004060E8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в личном кабинете на сайте ФНС;</w:t>
      </w:r>
    </w:p>
    <w:p w14:paraId="195D3A4B" w14:textId="77777777" w:rsidR="004060E8" w:rsidRDefault="004060E8" w:rsidP="004060E8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на «Госуслугах»;</w:t>
      </w:r>
    </w:p>
    <w:p w14:paraId="28921887" w14:textId="77777777" w:rsidR="004060E8" w:rsidRDefault="004060E8" w:rsidP="004060E8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по почте. </w:t>
      </w:r>
    </w:p>
    <w:p w14:paraId="07C3BF40" w14:textId="77777777" w:rsidR="004060E8" w:rsidRDefault="004060E8" w:rsidP="004060E8">
      <w:pPr>
        <w:shd w:val="clear" w:color="auto" w:fill="FFFFFF"/>
        <w:spacing w:after="0" w:line="420" w:lineRule="atLeast"/>
        <w:rPr>
          <w:rFonts w:ascii="Arial" w:hAnsi="Arial" w:cs="Arial"/>
        </w:rPr>
      </w:pPr>
      <w:r>
        <w:rPr>
          <w:rFonts w:ascii="Arial" w:hAnsi="Arial" w:cs="Arial"/>
        </w:rPr>
        <w:t>Если уведомление не пришло, но есть основания полагать, что налог должен быть уплачен, стоит проверить данные в личном кабинете или обратиться в налоговую инспекцию или МФЦ. </w:t>
      </w:r>
    </w:p>
    <w:p w14:paraId="7B8CA34F" w14:textId="77777777" w:rsidR="004060E8" w:rsidRDefault="004060E8" w:rsidP="004060E8">
      <w:pPr>
        <w:pStyle w:val="2"/>
        <w:shd w:val="clear" w:color="auto" w:fill="FFFFFF"/>
        <w:spacing w:before="360" w:after="180" w:line="42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Сроки уплаты</w:t>
      </w:r>
    </w:p>
    <w:p w14:paraId="5D61FC38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Например, налог на имущество, транспортный и земельный налоги нужно уплатить до 1 декабря года, следующего за отчётным (за 2024 год — до 1 декабря 2025 года). </w:t>
      </w:r>
    </w:p>
    <w:p w14:paraId="1315C730" w14:textId="77777777" w:rsidR="004060E8" w:rsidRDefault="004060E8" w:rsidP="004060E8">
      <w:pPr>
        <w:pStyle w:val="2"/>
        <w:shd w:val="clear" w:color="auto" w:fill="FFFFFF"/>
        <w:spacing w:before="360" w:after="180" w:line="420" w:lineRule="atLeas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Важно</w:t>
      </w:r>
    </w:p>
    <w:p w14:paraId="458743EB" w14:textId="77777777" w:rsid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Не уплата налога в срок влечёт начисление пеней. При крупной задолженности возможны штрафы, а в некоторых случаях — уголовная ответственность. </w:t>
      </w:r>
    </w:p>
    <w:p w14:paraId="61252FDB" w14:textId="259AD020" w:rsidR="004060E8" w:rsidRPr="004060E8" w:rsidRDefault="004060E8" w:rsidP="004060E8">
      <w:pPr>
        <w:shd w:val="clear" w:color="auto" w:fill="FFFFFF"/>
        <w:spacing w:line="420" w:lineRule="atLeast"/>
        <w:rPr>
          <w:rFonts w:ascii="Arial" w:hAnsi="Arial" w:cs="Arial"/>
        </w:rPr>
      </w:pPr>
      <w:r>
        <w:rPr>
          <w:rFonts w:ascii="Arial" w:hAnsi="Arial" w:cs="Arial"/>
        </w:rPr>
        <w:t>Для уточнения информации о конкретных налогах и льготах рекомендуется обратиться в ФНС или к юристу.</w:t>
      </w:r>
      <w:bookmarkStart w:id="0" w:name="_GoBack"/>
      <w:bookmarkEnd w:id="0"/>
    </w:p>
    <w:sectPr w:rsidR="004060E8" w:rsidRPr="0040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5BBC"/>
    <w:multiLevelType w:val="multilevel"/>
    <w:tmpl w:val="079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3615"/>
    <w:multiLevelType w:val="multilevel"/>
    <w:tmpl w:val="2A1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418C0"/>
    <w:multiLevelType w:val="multilevel"/>
    <w:tmpl w:val="4A80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520B9"/>
    <w:multiLevelType w:val="multilevel"/>
    <w:tmpl w:val="04D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33C88"/>
    <w:multiLevelType w:val="multilevel"/>
    <w:tmpl w:val="F60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838C7"/>
    <w:multiLevelType w:val="multilevel"/>
    <w:tmpl w:val="D80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81091"/>
    <w:multiLevelType w:val="multilevel"/>
    <w:tmpl w:val="7170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3420B"/>
    <w:multiLevelType w:val="multilevel"/>
    <w:tmpl w:val="C6B6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E59FB"/>
    <w:multiLevelType w:val="multilevel"/>
    <w:tmpl w:val="8D7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6637A"/>
    <w:multiLevelType w:val="multilevel"/>
    <w:tmpl w:val="1740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B6186"/>
    <w:multiLevelType w:val="multilevel"/>
    <w:tmpl w:val="173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195D80"/>
    <w:multiLevelType w:val="multilevel"/>
    <w:tmpl w:val="73D8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15"/>
    <w:rsid w:val="0020478C"/>
    <w:rsid w:val="004060E8"/>
    <w:rsid w:val="00CD6215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C48D"/>
  <w15:chartTrackingRefBased/>
  <w15:docId w15:val="{69A0CC21-25E5-4D43-95EF-0448867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06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60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60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60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4060E8"/>
  </w:style>
  <w:style w:type="paragraph" w:styleId="a3">
    <w:name w:val="Normal (Web)"/>
    <w:basedOn w:val="a"/>
    <w:uiPriority w:val="99"/>
    <w:semiHidden/>
    <w:unhideWhenUsed/>
    <w:rsid w:val="0040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0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uturisfootnotegroup">
    <w:name w:val="futurisfootnotegroup"/>
    <w:basedOn w:val="a0"/>
    <w:rsid w:val="004060E8"/>
  </w:style>
  <w:style w:type="character" w:styleId="a4">
    <w:name w:val="Strong"/>
    <w:basedOn w:val="a0"/>
    <w:uiPriority w:val="22"/>
    <w:qFormat/>
    <w:rsid w:val="00406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36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056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1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6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6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2026-01-02T10:20:00Z</dcterms:created>
  <dcterms:modified xsi:type="dcterms:W3CDTF">2026-01-02T10:23:00Z</dcterms:modified>
</cp:coreProperties>
</file>